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arget="word/document.xml" Type="http://schemas.openxmlformats.org/officeDocument/2006/relationships/officeDocument"/></Relationships>
</file>

<file path=word/document.xml><?xml version="1.0" encoding="utf-8"?>
<w:document xmlns:w="http://schemas.openxmlformats.org/wordprocessingml/2006/main">
  <w:body>
    <w:p>
      <w:pPr>
        <w:spacing w:before="0" w:after="240" w:line="276" w:lineRule="auto"/>
      </w:pPr>
      <w:r>
        <w:rPr>
          <w:rFonts w:ascii="Calibri" w:hAnsi="Calibri"/>
          <w:b/>
          <w:sz w:val="32"/>
        </w:rPr>
        <w:t xml:space="preserve">Whistleblowerpolitik for [virksomhedens navn]</w:t>
      </w:r>
    </w:p>
    <w:p>
      <w:pPr>
        <w:spacing w:before="0" w:after="140" w:line="276" w:lineRule="auto"/>
      </w:pPr>
      <w:r>
        <w:rPr>
          <w:rFonts w:ascii="Calibri" w:hAnsi="Calibri"/>
          <w:sz w:val="21"/>
        </w:rPr>
        <w:t xml:space="preserve">Vedtaget den [dato]. Gælder for alle, der arbejder for eller med [virksomhedens navn].</w:t>
      </w:r>
    </w:p>
    <w:p>
      <w:pPr>
        <w:spacing w:before="360" w:after="120" w:line="276" w:lineRule="auto"/>
      </w:pPr>
      <w:r>
        <w:rPr>
          <w:rFonts w:ascii="Calibri" w:hAnsi="Calibri"/>
          <w:b/>
          <w:sz w:val="24"/>
        </w:rPr>
        <w:t xml:space="preserve">1. Hvorfor vi har en ordning</w:t>
      </w:r>
    </w:p>
    <w:p>
      <w:pPr>
        <w:spacing w:before="0" w:after="140" w:line="276" w:lineRule="auto"/>
      </w:pPr>
      <w:r>
        <w:rPr>
          <w:rFonts w:ascii="Calibri" w:hAnsi="Calibri"/>
          <w:sz w:val="21"/>
        </w:rPr>
        <w:t xml:space="preserve">Vi vil vide det, hvis noget alvorligt går galt hos os — også når det er ubehageligt, og også når det handler om en leder. Denne ordning er en kanal, hvor du kan sige det uden at risikere noget selv.</w:t>
      </w:r>
    </w:p>
    <w:p>
      <w:pPr>
        <w:spacing w:before="0" w:after="140" w:line="276" w:lineRule="auto"/>
      </w:pPr>
      <w:r>
        <w:rPr>
          <w:rFonts w:ascii="Calibri" w:hAnsi="Calibri"/>
          <w:sz w:val="21"/>
        </w:rPr>
        <w:t xml:space="preserve">Ordningen opfylder samtidig kravet i lov om beskyttelse af whistleblowere. Men den findes ikke, fordi loven kræver det. Den findes, fordi vi hellere vil høre det fra dig end fra nogen udefra.</w:t>
      </w:r>
    </w:p>
    <w:p>
      <w:pPr>
        <w:spacing w:before="360" w:after="120" w:line="276" w:lineRule="auto"/>
      </w:pPr>
      <w:r>
        <w:rPr>
          <w:rFonts w:ascii="Calibri" w:hAnsi="Calibri"/>
          <w:b/>
          <w:sz w:val="24"/>
        </w:rPr>
        <w:t xml:space="preserve">2. Hvem kan bruge ordningen</w:t>
      </w:r>
    </w:p>
    <w:p>
      <w:pPr>
        <w:spacing w:before="0" w:after="140" w:line="276" w:lineRule="auto"/>
      </w:pPr>
      <w:r>
        <w:rPr>
          <w:rFonts w:ascii="Calibri" w:hAnsi="Calibri"/>
          <w:sz w:val="21"/>
        </w:rPr>
        <w:t xml:space="preserve">Alle med en arbejdsrelateret forbindelse til os:</w:t>
      </w:r>
    </w:p>
    <w:p>
      <w:pPr>
        <w:spacing w:before="0" w:after="60" w:line="276" w:lineRule="auto"/>
        <w:ind w:left="360"/>
      </w:pPr>
      <w:r>
        <w:rPr>
          <w:rFonts w:ascii="Calibri" w:hAnsi="Calibri"/>
          <w:sz w:val="21"/>
        </w:rPr>
        <w:t xml:space="preserve">•  </w:t>
      </w:r>
      <w:r>
        <w:rPr>
          <w:rFonts w:ascii="Calibri" w:hAnsi="Calibri"/>
          <w:sz w:val="21"/>
        </w:rPr>
        <w:t xml:space="preserve">nuværende og tidligere medarbejdere</w:t>
      </w:r>
    </w:p>
    <w:p>
      <w:pPr>
        <w:spacing w:before="0" w:after="60" w:line="276" w:lineRule="auto"/>
        <w:ind w:left="360"/>
      </w:pPr>
      <w:r>
        <w:rPr>
          <w:rFonts w:ascii="Calibri" w:hAnsi="Calibri"/>
          <w:sz w:val="21"/>
        </w:rPr>
        <w:t xml:space="preserve">•  </w:t>
      </w:r>
      <w:r>
        <w:rPr>
          <w:rFonts w:ascii="Calibri" w:hAnsi="Calibri"/>
          <w:sz w:val="21"/>
        </w:rPr>
        <w:t xml:space="preserve">ansøgere til stillinger hos os</w:t>
      </w:r>
    </w:p>
    <w:p>
      <w:pPr>
        <w:spacing w:before="0" w:after="60" w:line="276" w:lineRule="auto"/>
        <w:ind w:left="360"/>
      </w:pPr>
      <w:r>
        <w:rPr>
          <w:rFonts w:ascii="Calibri" w:hAnsi="Calibri"/>
          <w:sz w:val="21"/>
        </w:rPr>
        <w:t xml:space="preserve">•  </w:t>
      </w:r>
      <w:r>
        <w:rPr>
          <w:rFonts w:ascii="Calibri" w:hAnsi="Calibri"/>
          <w:sz w:val="21"/>
        </w:rPr>
        <w:t xml:space="preserve">praktikanter og elever, uanset om de er lønnede</w:t>
      </w:r>
    </w:p>
    <w:p>
      <w:pPr>
        <w:spacing w:before="0" w:after="60" w:line="276" w:lineRule="auto"/>
        <w:ind w:left="360"/>
      </w:pPr>
      <w:r>
        <w:rPr>
          <w:rFonts w:ascii="Calibri" w:hAnsi="Calibri"/>
          <w:sz w:val="21"/>
        </w:rPr>
        <w:t xml:space="preserve">•  </w:t>
      </w:r>
      <w:r>
        <w:rPr>
          <w:rFonts w:ascii="Calibri" w:hAnsi="Calibri"/>
          <w:sz w:val="21"/>
        </w:rPr>
        <w:t xml:space="preserve">vikarer og indlejet arbejdskraft</w:t>
      </w:r>
    </w:p>
    <w:p>
      <w:pPr>
        <w:spacing w:before="0" w:after="60" w:line="276" w:lineRule="auto"/>
        <w:ind w:left="360"/>
      </w:pPr>
      <w:r>
        <w:rPr>
          <w:rFonts w:ascii="Calibri" w:hAnsi="Calibri"/>
          <w:sz w:val="21"/>
        </w:rPr>
        <w:t xml:space="preserve">•  </w:t>
      </w:r>
      <w:r>
        <w:rPr>
          <w:rFonts w:ascii="Calibri" w:hAnsi="Calibri"/>
          <w:sz w:val="21"/>
        </w:rPr>
        <w:t xml:space="preserve">selvstændige samarbejdspartnere, leverandører og deres medarbejdere</w:t>
      </w:r>
    </w:p>
    <w:p>
      <w:pPr>
        <w:spacing w:before="0" w:after="60" w:line="276" w:lineRule="auto"/>
        <w:ind w:left="360"/>
      </w:pPr>
      <w:r>
        <w:rPr>
          <w:rFonts w:ascii="Calibri" w:hAnsi="Calibri"/>
          <w:sz w:val="21"/>
        </w:rPr>
        <w:t xml:space="preserve">•  </w:t>
      </w:r>
      <w:r>
        <w:rPr>
          <w:rFonts w:ascii="Calibri" w:hAnsi="Calibri"/>
          <w:sz w:val="21"/>
        </w:rPr>
        <w:t xml:space="preserve">medlemmer af bestyrelse og direktion</w:t>
      </w:r>
    </w:p>
    <w:p>
      <w:pPr>
        <w:spacing w:before="360" w:after="120" w:line="276" w:lineRule="auto"/>
      </w:pPr>
      <w:r>
        <w:rPr>
          <w:rFonts w:ascii="Calibri" w:hAnsi="Calibri"/>
          <w:b/>
          <w:sz w:val="24"/>
        </w:rPr>
        <w:t xml:space="preserve">3. Hvad du kan indberette</w:t>
      </w:r>
    </w:p>
    <w:p>
      <w:pPr>
        <w:spacing w:before="0" w:after="140" w:line="276" w:lineRule="auto"/>
      </w:pPr>
      <w:r>
        <w:rPr>
          <w:rFonts w:ascii="Calibri" w:hAnsi="Calibri"/>
          <w:sz w:val="21"/>
        </w:rPr>
        <w:t xml:space="preserve">To slags forhold, og de har ikke samme tærskel:</w:t>
      </w:r>
    </w:p>
    <w:p>
      <w:pPr>
        <w:spacing w:before="0" w:after="140" w:line="276" w:lineRule="auto"/>
      </w:pPr>
      <w:r>
        <w:rPr>
          <w:rFonts w:ascii="Calibri" w:hAnsi="Calibri"/>
          <w:b/>
          <w:sz w:val="21"/>
        </w:rPr>
        <w:t xml:space="preserve">Alvorlige lovovertrædelser og andre alvorlige forhold.</w:t>
      </w:r>
      <w:r>
        <w:rPr>
          <w:rFonts w:ascii="Calibri" w:hAnsi="Calibri"/>
          <w:sz w:val="21"/>
        </w:rPr>
        <w:t xml:space="preserve"> For eksempel:</w:t>
      </w:r>
    </w:p>
    <w:p>
      <w:pPr>
        <w:spacing w:before="0" w:after="60" w:line="276" w:lineRule="auto"/>
        <w:ind w:left="360"/>
      </w:pPr>
      <w:r>
        <w:rPr>
          <w:rFonts w:ascii="Calibri" w:hAnsi="Calibri"/>
          <w:sz w:val="21"/>
        </w:rPr>
        <w:t xml:space="preserve">•  </w:t>
      </w:r>
      <w:r>
        <w:rPr>
          <w:rFonts w:ascii="Calibri" w:hAnsi="Calibri"/>
          <w:sz w:val="21"/>
        </w:rPr>
        <w:t xml:space="preserve">bestikkelse, bedrageri, tyveri eller underslæb</w:t>
      </w:r>
    </w:p>
    <w:p>
      <w:pPr>
        <w:spacing w:before="0" w:after="60" w:line="276" w:lineRule="auto"/>
        <w:ind w:left="360"/>
      </w:pPr>
      <w:r>
        <w:rPr>
          <w:rFonts w:ascii="Calibri" w:hAnsi="Calibri"/>
          <w:sz w:val="21"/>
        </w:rPr>
        <w:t xml:space="preserve">•  </w:t>
      </w:r>
      <w:r>
        <w:rPr>
          <w:rFonts w:ascii="Calibri" w:hAnsi="Calibri"/>
          <w:sz w:val="21"/>
        </w:rPr>
        <w:t xml:space="preserve">manipulation med regnskaber eller afrapportering</w:t>
      </w:r>
    </w:p>
    <w:p>
      <w:pPr>
        <w:spacing w:before="0" w:after="60" w:line="276" w:lineRule="auto"/>
        <w:ind w:left="360"/>
      </w:pPr>
      <w:r>
        <w:rPr>
          <w:rFonts w:ascii="Calibri" w:hAnsi="Calibri"/>
          <w:sz w:val="21"/>
        </w:rPr>
        <w:t xml:space="preserve">•  </w:t>
      </w:r>
      <w:r>
        <w:rPr>
          <w:rFonts w:ascii="Calibri" w:hAnsi="Calibri"/>
          <w:sz w:val="21"/>
        </w:rPr>
        <w:t xml:space="preserve">brud på arbejdsmiljøreglerne, som kan skade nogen</w:t>
      </w:r>
    </w:p>
    <w:p>
      <w:pPr>
        <w:spacing w:before="0" w:after="60" w:line="276" w:lineRule="auto"/>
        <w:ind w:left="360"/>
      </w:pPr>
      <w:r>
        <w:rPr>
          <w:rFonts w:ascii="Calibri" w:hAnsi="Calibri"/>
          <w:sz w:val="21"/>
        </w:rPr>
        <w:t xml:space="preserve">•  </w:t>
      </w:r>
      <w:r>
        <w:rPr>
          <w:rFonts w:ascii="Calibri" w:hAnsi="Calibri"/>
          <w:sz w:val="21"/>
        </w:rPr>
        <w:t xml:space="preserve">seksuel chikane, grov mobning eller diskrimination</w:t>
      </w:r>
    </w:p>
    <w:p>
      <w:pPr>
        <w:spacing w:before="0" w:after="60" w:line="276" w:lineRule="auto"/>
        <w:ind w:left="360"/>
      </w:pPr>
      <w:r>
        <w:rPr>
          <w:rFonts w:ascii="Calibri" w:hAnsi="Calibri"/>
          <w:sz w:val="21"/>
        </w:rPr>
        <w:t xml:space="preserve">•  </w:t>
      </w:r>
      <w:r>
        <w:rPr>
          <w:rFonts w:ascii="Calibri" w:hAnsi="Calibri"/>
          <w:sz w:val="21"/>
        </w:rPr>
        <w:t xml:space="preserve">brud på reglerne om behandling af personoplysninger</w:t>
      </w:r>
    </w:p>
    <w:p>
      <w:pPr>
        <w:spacing w:before="0" w:after="60" w:line="276" w:lineRule="auto"/>
        <w:ind w:left="360"/>
      </w:pPr>
      <w:r>
        <w:rPr>
          <w:rFonts w:ascii="Calibri" w:hAnsi="Calibri"/>
          <w:sz w:val="21"/>
        </w:rPr>
        <w:t xml:space="preserve">•  </w:t>
      </w:r>
      <w:r>
        <w:rPr>
          <w:rFonts w:ascii="Calibri" w:hAnsi="Calibri"/>
          <w:sz w:val="21"/>
        </w:rPr>
        <w:t xml:space="preserve">alvorlig fare for miljø, sundhed eller sikkerhed</w:t>
      </w:r>
    </w:p>
    <w:p>
      <w:pPr>
        <w:spacing w:before="0" w:after="60" w:line="276" w:lineRule="auto"/>
        <w:ind w:left="360"/>
      </w:pPr>
      <w:r>
        <w:rPr>
          <w:rFonts w:ascii="Calibri" w:hAnsi="Calibri"/>
          <w:sz w:val="21"/>
        </w:rPr>
        <w:t xml:space="preserve">•  </w:t>
      </w:r>
      <w:r>
        <w:rPr>
          <w:rFonts w:ascii="Calibri" w:hAnsi="Calibri"/>
          <w:sz w:val="21"/>
        </w:rPr>
        <w:t xml:space="preserve">[tilføj eksempler fra jeres egen branche]</w:t>
      </w:r>
    </w:p>
    <w:p>
      <w:pPr>
        <w:spacing w:before="160" w:after="140" w:line="276" w:lineRule="auto"/>
      </w:pPr>
      <w:r>
        <w:rPr>
          <w:rFonts w:ascii="Calibri" w:hAnsi="Calibri"/>
          <w:b/>
          <w:sz w:val="21"/>
        </w:rPr>
        <w:t xml:space="preserve">Overtrædelser af EU-retten</w:t>
      </w:r>
      <w:r>
        <w:rPr>
          <w:rFonts w:ascii="Calibri" w:hAnsi="Calibri"/>
          <w:sz w:val="21"/>
        </w:rPr>
        <w:t xml:space="preserve"> på de områder, whistleblowerdirektivet dækker — blandt andet udbud, produktsikkerhed, miljøbeskyttelse, folkesundhed, forbrugerbeskyttelse, databeskyttelse og hvidvask. </w:t>
      </w:r>
      <w:r>
        <w:rPr>
          <w:rFonts w:ascii="Calibri" w:hAnsi="Calibri"/>
          <w:b/>
          <w:sz w:val="21"/>
        </w:rPr>
        <w:t xml:space="preserve">Her er der intet krav om, at forholdet er alvorligt.</w:t>
      </w:r>
      <w:r>
        <w:rPr>
          <w:rFonts w:ascii="Calibri" w:hAnsi="Calibri"/>
          <w:sz w:val="21"/>
        </w:rPr>
        <w:t xml:space="preserve"> Er du i tvivl, så indberet.</w:t>
      </w:r>
    </w:p>
    <w:p>
      <w:pPr>
        <w:spacing w:before="0" w:after="140" w:line="276" w:lineRule="auto"/>
      </w:pPr>
      <w:r>
        <w:rPr>
          <w:rFonts w:ascii="Calibri" w:hAnsi="Calibri"/>
          <w:sz w:val="21"/>
        </w:rPr>
        <w:t xml:space="preserve">Du skal have </w:t>
      </w:r>
      <w:r>
        <w:rPr>
          <w:rFonts w:ascii="Calibri" w:hAnsi="Calibri"/>
          <w:b/>
          <w:sz w:val="21"/>
        </w:rPr>
        <w:t xml:space="preserve">begrundet mistanke</w:t>
      </w:r>
      <w:r>
        <w:rPr>
          <w:rFonts w:ascii="Calibri" w:hAnsi="Calibri"/>
          <w:sz w:val="21"/>
        </w:rPr>
        <w:t xml:space="preserve"> — du skal ikke have beviser. Det er vores opgave at undersøge sagen.</w:t>
      </w:r>
    </w:p>
    <w:p>
      <w:pPr>
        <w:spacing w:before="360" w:after="120" w:line="276" w:lineRule="auto"/>
      </w:pPr>
      <w:r>
        <w:rPr>
          <w:rFonts w:ascii="Calibri" w:hAnsi="Calibri"/>
          <w:b/>
          <w:sz w:val="24"/>
        </w:rPr>
        <w:t xml:space="preserve">4. Hvad der IKKE hører hjemme her</w:t>
      </w:r>
    </w:p>
    <w:p>
      <w:pPr>
        <w:spacing w:before="0" w:after="140" w:line="276" w:lineRule="auto"/>
      </w:pPr>
      <w:r>
        <w:rPr>
          <w:rFonts w:ascii="Calibri" w:hAnsi="Calibri"/>
          <w:sz w:val="21"/>
        </w:rPr>
        <w:t xml:space="preserve">Ordningen er ikke stedet for almindelige samarbejdsproblemer, utilfredshed med løn, uenighed om vagtplaner eller kritik af en beslutning, du er uenig i. Ikke fordi det er ligegyldigt, men fordi det bliver løst hurtigere et andet sted.</w:t>
      </w:r>
    </w:p>
    <w:p>
      <w:pPr>
        <w:spacing w:before="0" w:after="140" w:line="276" w:lineRule="auto"/>
      </w:pPr>
      <w:r>
        <w:rPr>
          <w:rFonts w:ascii="Calibri" w:hAnsi="Calibri"/>
          <w:sz w:val="21"/>
        </w:rPr>
        <w:t xml:space="preserve">Den slags går til [nærmeste leder / HR / tillidsrepræsentant — vælg og skriv det].</w:t>
      </w:r>
    </w:p>
    <w:p>
      <w:pPr>
        <w:spacing w:before="360" w:after="120" w:line="276" w:lineRule="auto"/>
      </w:pPr>
      <w:r>
        <w:rPr>
          <w:rFonts w:ascii="Calibri" w:hAnsi="Calibri"/>
          <w:b/>
          <w:sz w:val="24"/>
        </w:rPr>
        <w:t xml:space="preserve">5. Sådan indberetter du</w:t>
      </w:r>
    </w:p>
    <w:p>
      <w:pPr>
        <w:spacing w:before="0" w:after="140" w:line="276" w:lineRule="auto"/>
      </w:pPr>
      <w:r>
        <w:rPr>
          <w:rFonts w:ascii="Calibri" w:hAnsi="Calibri"/>
          <w:sz w:val="21"/>
        </w:rPr>
        <w:t xml:space="preserve">[Beskriv kanalen konkret: adressen på jeres whistleblowersystem, eller den fysiske postadresse. Skriv også, om man kan indberette mundtligt, og hvordan man beder om et møde.]</w:t>
      </w:r>
    </w:p>
    <w:p>
      <w:pPr>
        <w:spacing w:before="0" w:after="140" w:line="276" w:lineRule="auto"/>
      </w:pPr>
      <w:r>
        <w:rPr>
          <w:rFonts w:ascii="Calibri" w:hAnsi="Calibri"/>
          <w:sz w:val="21"/>
        </w:rPr>
        <w:t xml:space="preserve">Du kan indberette </w:t>
      </w:r>
      <w:r>
        <w:rPr>
          <w:rFonts w:ascii="Calibri" w:hAnsi="Calibri"/>
          <w:b/>
          <w:sz w:val="21"/>
        </w:rPr>
        <w:t xml:space="preserve">anonymt</w:t>
      </w:r>
      <w:r>
        <w:rPr>
          <w:rFonts w:ascii="Calibri" w:hAnsi="Calibri"/>
          <w:sz w:val="21"/>
        </w:rPr>
        <w:t xml:space="preserve">. [Slet denne linje, hvis I ikke tager imod anonyme indberetninger — et forbehold her betyder i praksis, at ingen tør bruge muligheden.]</w:t>
      </w:r>
    </w:p>
    <w:p>
      <w:pPr>
        <w:spacing w:before="0" w:after="140" w:line="276" w:lineRule="auto"/>
      </w:pPr>
      <w:r>
        <w:rPr>
          <w:rFonts w:ascii="Calibri" w:hAnsi="Calibri"/>
          <w:sz w:val="21"/>
        </w:rPr>
        <w:t xml:space="preserve">Vær opmærksom på, at indholdet i din indberetning kan gøre dig genkendelig, selv om du ikke skriver dit navn. Beskriver du en episode, kun få personer var til stede ved, kan det pege på dig. Skriv det, der er nødvendigt for, at vi kan undersøge sagen — og ikke mere.</w:t>
      </w:r>
    </w:p>
    <w:p>
      <w:pPr>
        <w:spacing w:before="360" w:after="120" w:line="276" w:lineRule="auto"/>
      </w:pPr>
      <w:r>
        <w:rPr>
          <w:rFonts w:ascii="Calibri" w:hAnsi="Calibri"/>
          <w:b/>
          <w:sz w:val="24"/>
        </w:rPr>
        <w:t xml:space="preserve">6. Hvem læser din indberetning</w:t>
      </w:r>
    </w:p>
    <w:p>
      <w:pPr>
        <w:spacing w:before="0" w:after="140" w:line="276" w:lineRule="auto"/>
      </w:pPr>
      <w:r>
        <w:rPr>
          <w:rFonts w:ascii="Calibri" w:hAnsi="Calibri"/>
          <w:sz w:val="21"/>
        </w:rPr>
        <w:t xml:space="preserve">[Navn eller funktion på den upartiske enhed — for eksempel "vores eksterne advokat [navn]" eller "bestyrelsesformanden".</w:t>
      </w:r>
    </w:p>
    <w:p>
      <w:pPr>
        <w:spacing w:before="0" w:after="140" w:line="276" w:lineRule="auto"/>
      </w:pPr>
      <w:r>
        <w:rPr>
          <w:rFonts w:ascii="Calibri" w:hAnsi="Calibri"/>
          <w:sz w:val="21"/>
        </w:rPr>
        <w:t xml:space="preserve">VÆLG MED OMHU: personen skal være uafhængig af den daglige ledelse. En direktør, økonomichef eller HR-chef er sjældent egnet — de er selv en del af ledelsen, og flere af eksemplerne i punkt 3 handler netop om ledelsens dispositioner.]</w:t>
      </w:r>
    </w:p>
    <w:p>
      <w:pPr>
        <w:spacing w:before="0" w:after="140" w:line="276" w:lineRule="auto"/>
      </w:pPr>
      <w:r>
        <w:rPr>
          <w:rFonts w:ascii="Calibri" w:hAnsi="Calibri"/>
          <w:sz w:val="21"/>
        </w:rPr>
        <w:t xml:space="preserve">Denne person eller enhed er udpeget til opgaven og er uafhængig af den daglige ledelse. Ingen andre hos os får adgang til indberetningen uden enhedens beslutning.</w:t>
      </w:r>
    </w:p>
    <w:p>
      <w:pPr>
        <w:spacing w:before="0" w:after="140" w:line="276" w:lineRule="auto"/>
      </w:pPr>
      <w:r>
        <w:rPr>
          <w:rFonts w:ascii="Calibri" w:hAnsi="Calibri"/>
          <w:sz w:val="21"/>
        </w:rPr>
        <w:t xml:space="preserve">Er indberetningen om den udpegede enhed selv, skal du i stedet [beskriv den alternative vej — for eksempel bestyrelsesformanden eller den eksterne kanal i punkt 9].</w:t>
      </w:r>
    </w:p>
    <w:p>
      <w:pPr>
        <w:spacing w:before="360" w:after="120" w:line="276" w:lineRule="auto"/>
      </w:pPr>
      <w:r>
        <w:rPr>
          <w:rFonts w:ascii="Calibri" w:hAnsi="Calibri"/>
          <w:b/>
          <w:sz w:val="24"/>
        </w:rPr>
        <w:t xml:space="preserve">7. Hvad der sker, og hvornår</w:t>
      </w:r>
    </w:p>
    <w:p>
      <w:pPr>
        <w:spacing w:before="0" w:after="60" w:line="276" w:lineRule="auto"/>
        <w:ind w:left="360"/>
      </w:pPr>
      <w:r>
        <w:rPr>
          <w:rFonts w:ascii="Calibri" w:hAnsi="Calibri"/>
          <w:sz w:val="21"/>
        </w:rPr>
        <w:t xml:space="preserve">•  </w:t>
      </w:r>
      <w:r>
        <w:rPr>
          <w:rFonts w:ascii="Calibri" w:hAnsi="Calibri"/>
          <w:b/>
          <w:sz w:val="21"/>
        </w:rPr>
        <w:t xml:space="preserve">Inden 7 dage</w:t>
      </w:r>
      <w:r>
        <w:rPr>
          <w:rFonts w:ascii="Calibri" w:hAnsi="Calibri"/>
          <w:sz w:val="21"/>
        </w:rPr>
        <w:t xml:space="preserve"> får du en bekræftelse på, at vi har modtaget din indberetning.</w:t>
      </w:r>
    </w:p>
    <w:p>
      <w:pPr>
        <w:spacing w:before="0" w:after="60" w:line="276" w:lineRule="auto"/>
        <w:ind w:left="360"/>
      </w:pPr>
      <w:r>
        <w:rPr>
          <w:rFonts w:ascii="Calibri" w:hAnsi="Calibri"/>
          <w:sz w:val="21"/>
        </w:rPr>
        <w:t xml:space="preserve">•  </w:t>
      </w:r>
      <w:r>
        <w:rPr>
          <w:rFonts w:ascii="Calibri" w:hAnsi="Calibri"/>
          <w:b/>
          <w:sz w:val="21"/>
        </w:rPr>
        <w:t xml:space="preserve">Inden 3 måneder</w:t>
      </w:r>
      <w:r>
        <w:rPr>
          <w:rFonts w:ascii="Calibri" w:hAnsi="Calibri"/>
          <w:sz w:val="21"/>
        </w:rPr>
        <w:t xml:space="preserve"> fra bekræftelsen får du besked om, hvad der er sket i sagen: hvad vi har undersøgt, og hvad vi gør.</w:t>
      </w:r>
    </w:p>
    <w:p>
      <w:pPr>
        <w:spacing w:before="160" w:after="140" w:line="276" w:lineRule="auto"/>
      </w:pPr>
      <w:r>
        <w:rPr>
          <w:rFonts w:ascii="Calibri" w:hAnsi="Calibri"/>
          <w:sz w:val="21"/>
        </w:rPr>
        <w:t xml:space="preserve">Begge frister er lovbestemte, og de gælder også, hvis du er anonym. [Beskriv, hvordan du giver besked til en anonym indberetter — typisk gennem det system, hun indberettede i.]</w:t>
      </w:r>
    </w:p>
    <w:p>
      <w:pPr>
        <w:spacing w:before="0" w:after="140" w:line="276" w:lineRule="auto"/>
      </w:pPr>
      <w:r>
        <w:rPr>
          <w:rFonts w:ascii="Calibri" w:hAnsi="Calibri"/>
          <w:sz w:val="21"/>
        </w:rPr>
        <w:t xml:space="preserve">Hvis sagen er kompleks, kan undersøgelsen tage længere tid end tre måneder. Så får du besked om det inden fristen, ikke bagefter.</w:t>
      </w:r>
    </w:p>
    <w:p>
      <w:pPr>
        <w:spacing w:before="360" w:after="120" w:line="276" w:lineRule="auto"/>
      </w:pPr>
      <w:r>
        <w:rPr>
          <w:rFonts w:ascii="Calibri" w:hAnsi="Calibri"/>
          <w:b/>
          <w:sz w:val="24"/>
        </w:rPr>
        <w:t xml:space="preserve">8. Du er beskyttet mod gengældelse</w:t>
      </w:r>
    </w:p>
    <w:p>
      <w:pPr>
        <w:spacing w:before="0" w:after="140" w:line="276" w:lineRule="auto"/>
      </w:pPr>
      <w:r>
        <w:rPr>
          <w:rFonts w:ascii="Calibri" w:hAnsi="Calibri"/>
          <w:sz w:val="21"/>
        </w:rPr>
        <w:t xml:space="preserve">Det er forbudt at udsætte dig for negative konsekvenser, fordi du har indberettet i god tro. Det gælder afskedigelse, degradering, ændrede arbejdsopgaver, dårligere vagter, manglende forfremmelse, chikane og alt andet, der stiller dig ringere.</w:t>
      </w:r>
    </w:p>
    <w:p>
      <w:pPr>
        <w:spacing w:before="0" w:after="140" w:line="276" w:lineRule="auto"/>
      </w:pPr>
      <w:r>
        <w:rPr>
          <w:rFonts w:ascii="Calibri" w:hAnsi="Calibri"/>
          <w:sz w:val="21"/>
        </w:rPr>
        <w:t xml:space="preserve">Beskyttelsen gælder også, hvis det viser sig, at der ikke var noget galt — så længe du havde begrundet mistanke.</w:t>
      </w:r>
    </w:p>
    <w:p>
      <w:pPr>
        <w:spacing w:before="0" w:after="140" w:line="276" w:lineRule="auto"/>
      </w:pPr>
      <w:r>
        <w:rPr>
          <w:rFonts w:ascii="Calibri" w:hAnsi="Calibri"/>
          <w:sz w:val="21"/>
        </w:rPr>
        <w:t xml:space="preserve">Sker det alligevel, så sig det til [den upartiske enhed / bestyrelsen]. Du kan have ret til godtgørelse, og bevisbyrden er delt til din fordel.</w:t>
      </w:r>
    </w:p>
    <w:p>
      <w:pPr>
        <w:spacing w:before="360" w:after="120" w:line="276" w:lineRule="auto"/>
      </w:pPr>
      <w:r>
        <w:rPr>
          <w:rFonts w:ascii="Calibri" w:hAnsi="Calibri"/>
          <w:b/>
          <w:sz w:val="24"/>
        </w:rPr>
        <w:t xml:space="preserve">9. Du kan også gå udenom os</w:t>
      </w:r>
    </w:p>
    <w:p>
      <w:pPr>
        <w:spacing w:before="0" w:after="140" w:line="276" w:lineRule="auto"/>
      </w:pPr>
      <w:r>
        <w:rPr>
          <w:rFonts w:ascii="Calibri" w:hAnsi="Calibri"/>
          <w:sz w:val="21"/>
        </w:rPr>
        <w:t xml:space="preserve">Du er ikke forpligtet til at bruge den interne ordning. Du kan i stedet indberette til </w:t>
      </w:r>
      <w:r>
        <w:rPr>
          <w:rFonts w:ascii="Calibri" w:hAnsi="Calibri"/>
          <w:b/>
          <w:sz w:val="21"/>
        </w:rPr>
        <w:t xml:space="preserve">Datatilsynets eksterne whistleblowerordning</w:t>
      </w:r>
      <w:r>
        <w:rPr>
          <w:rFonts w:ascii="Calibri" w:hAnsi="Calibri"/>
          <w:sz w:val="21"/>
        </w:rPr>
        <w:t xml:space="preserve">. Det er dit valg, og det får ingen konsekvenser for dig.</w:t>
      </w:r>
    </w:p>
    <w:p>
      <w:pPr>
        <w:spacing w:before="0" w:after="140" w:line="276" w:lineRule="auto"/>
      </w:pPr>
      <w:r>
        <w:rPr>
          <w:rFonts w:ascii="Calibri" w:hAnsi="Calibri"/>
          <w:sz w:val="21"/>
        </w:rPr>
        <w:t xml:space="preserve">Vi vil gerne have chancen for at rette op på det selv — men det er en anmodning, ikke et krav.</w:t>
      </w:r>
    </w:p>
    <w:p>
      <w:pPr>
        <w:spacing w:before="360" w:after="120" w:line="276" w:lineRule="auto"/>
      </w:pPr>
      <w:r>
        <w:rPr>
          <w:rFonts w:ascii="Calibri" w:hAnsi="Calibri"/>
          <w:b/>
          <w:sz w:val="24"/>
        </w:rPr>
        <w:t xml:space="preserve">10. Din identitet behandles fortroligt</w:t>
      </w:r>
    </w:p>
    <w:p>
      <w:pPr>
        <w:spacing w:before="0" w:after="140" w:line="276" w:lineRule="auto"/>
      </w:pPr>
      <w:r>
        <w:rPr>
          <w:rFonts w:ascii="Calibri" w:hAnsi="Calibri"/>
          <w:sz w:val="21"/>
        </w:rPr>
        <w:t xml:space="preserve">Vælger du at skrive under navn, er din identitet fortrolig. Den er kendt af den upartiske enhed og videregives ikke til andre uden dit udtrykkelige samtykke — heller ikke til den, indberetningen handler om, og heller ikke til ledelsen.</w:t>
      </w:r>
    </w:p>
    <w:p>
      <w:pPr>
        <w:spacing w:before="0" w:after="140" w:line="276" w:lineRule="auto"/>
      </w:pPr>
      <w:r>
        <w:rPr>
          <w:rFonts w:ascii="Calibri" w:hAnsi="Calibri"/>
          <w:sz w:val="21"/>
        </w:rPr>
        <w:t xml:space="preserve">Der er én undtagelse, og den står i loven: identiteten kan videregives til andre offentlige myndigheder, hvis det er nødvendigt for at forebygge lovovertrædelser eller sikre den anklagedes ret til et forsvar. Sker det, får du besked først, medmindre underretningen ville skade undersøgelsen.</w:t>
      </w:r>
    </w:p>
    <w:p>
      <w:pPr>
        <w:spacing w:before="360" w:after="120" w:line="276" w:lineRule="auto"/>
      </w:pPr>
      <w:r>
        <w:rPr>
          <w:rFonts w:ascii="Calibri" w:hAnsi="Calibri"/>
          <w:b/>
          <w:sz w:val="24"/>
        </w:rPr>
        <w:t xml:space="preserve">11. Hvad der sker med oplysningerne</w:t>
      </w:r>
    </w:p>
    <w:p>
      <w:pPr>
        <w:spacing w:before="0" w:after="140" w:line="276" w:lineRule="auto"/>
      </w:pPr>
      <w:r>
        <w:rPr>
          <w:rFonts w:ascii="Calibri" w:hAnsi="Calibri"/>
          <w:sz w:val="21"/>
        </w:rPr>
        <w:t xml:space="preserve">[Beskriv: hvem der behandler oplysningerne, hvor længe de gemmes, og hvornår de slettes. Husk, at I har oplysningspligt efter databeskyttelsesreglerne, og at også den person, en indberetning HANDLER om, som udgangspunkt har rettigheder — men at whistleblowerens identitet er beskyttet.]</w:t>
      </w:r>
    </w:p>
    <w:p>
      <w:pPr>
        <w:spacing w:before="0" w:after="140" w:line="276" w:lineRule="auto"/>
      </w:pPr>
      <w:r>
        <w:rPr>
          <w:rFonts w:ascii="Calibri" w:hAnsi="Calibri"/>
          <w:sz w:val="21"/>
        </w:rPr>
        <w:t xml:space="preserve">Vi fører et register over indberetninger, som loven kræver. Registret indeholder ikke oplysninger, der kan afsløre en anonym indberetters identitet.</w:t>
      </w:r>
    </w:p>
    <w:p>
      <w:pPr>
        <w:spacing w:before="360" w:after="120" w:line="276" w:lineRule="auto"/>
      </w:pPr>
      <w:r>
        <w:rPr>
          <w:rFonts w:ascii="Calibri" w:hAnsi="Calibri"/>
          <w:b/>
          <w:sz w:val="24"/>
        </w:rPr>
        <w:t xml:space="preserve">12. Spørgsmål</w:t>
      </w:r>
    </w:p>
    <w:p>
      <w:pPr>
        <w:spacing w:before="0" w:after="140" w:line="276" w:lineRule="auto"/>
      </w:pPr>
      <w:r>
        <w:rPr>
          <w:rFonts w:ascii="Calibri" w:hAnsi="Calibri"/>
          <w:sz w:val="21"/>
        </w:rPr>
        <w:t xml:space="preserve">Er du i tvivl om, hvorvidt noget hører hjemme i ordningen, må du gerne spørge, før du indberetter. Kontakt [navn og kontaktoplysninger].</w:t>
      </w:r>
    </w:p>
    <w:p>
      <w:pPr>
        <w:pBdr>
          <w:top w:val="single" w:sz="6" w:space="1" w:color="CCCCCC"/>
        </w:pBdr>
        <w:spacing w:before="360" w:after="240"/>
      </w:pPr>
    </w:p>
    <w:p>
      <w:pPr>
        <w:spacing w:before="0" w:after="140" w:line="276" w:lineRule="auto"/>
      </w:pPr>
      <w:r>
        <w:rPr>
          <w:rFonts w:ascii="Calibri" w:hAnsi="Calibri"/>
          <w:sz w:val="21"/>
        </w:rPr>
        <w:t xml:space="preserve">Denne politik er senest opdateret den [dato] og gennemgås mindst hvert [antal] år.</w:t>
      </w:r>
    </w:p>
    <w:sectPr>
      <w:pgSz w:w="11906" w:h="16838"/>
      <w:pgMar w:top="1418" w:right="1418" w:bottom="1418" w:left="1418"/>
    </w:sectPr>
  </w:body>
</w:document>
</file>